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342A" w14:textId="77777777" w:rsidR="00A30CBD" w:rsidRDefault="00DA1B73">
      <w:pPr>
        <w:spacing w:after="0" w:line="240" w:lineRule="auto"/>
        <w:jc w:val="center"/>
        <w:rPr>
          <w:rFonts w:ascii="Arial" w:eastAsia="Calibri" w:hAnsi="Arial" w:cs="Arial"/>
          <w:b/>
          <w:bCs/>
          <w:kern w:val="2"/>
          <w:sz w:val="21"/>
          <w:szCs w:val="21"/>
        </w:rPr>
      </w:pPr>
      <w:r>
        <w:rPr>
          <w:rFonts w:ascii="Arial" w:eastAsia="Calibri" w:hAnsi="Arial" w:cs="Arial"/>
          <w:b/>
          <w:bCs/>
          <w:kern w:val="2"/>
          <w:sz w:val="21"/>
          <w:szCs w:val="21"/>
        </w:rPr>
        <w:t xml:space="preserve">ПРАВИЛА </w:t>
      </w:r>
    </w:p>
    <w:p w14:paraId="412906A0" w14:textId="77777777" w:rsidR="00A30CBD" w:rsidRDefault="00DA1B73">
      <w:pPr>
        <w:spacing w:after="0" w:line="240" w:lineRule="auto"/>
        <w:jc w:val="center"/>
        <w:rPr>
          <w:rFonts w:ascii="Arial" w:eastAsia="Calibri" w:hAnsi="Arial" w:cs="Arial"/>
          <w:b/>
          <w:bCs/>
          <w:kern w:val="2"/>
          <w:sz w:val="21"/>
          <w:szCs w:val="21"/>
        </w:rPr>
      </w:pPr>
      <w:r>
        <w:rPr>
          <w:rFonts w:ascii="Arial" w:eastAsia="Calibri" w:hAnsi="Arial" w:cs="Arial"/>
          <w:b/>
          <w:bCs/>
          <w:kern w:val="2"/>
          <w:sz w:val="21"/>
          <w:szCs w:val="21"/>
        </w:rPr>
        <w:t>за вътрешно подаване на сигнали в Хидравлични елементи и системи АД и за последващи действия по тях съгласно Закона за защита на лицата, подаващи сигнали или публично оповестяващи информация за нарушения</w:t>
      </w:r>
    </w:p>
    <w:p w14:paraId="5DEFFA05" w14:textId="77777777" w:rsidR="00A30CBD" w:rsidRDefault="00A30CBD">
      <w:pPr>
        <w:spacing w:after="0" w:line="240" w:lineRule="auto"/>
        <w:ind w:firstLine="567"/>
        <w:rPr>
          <w:rFonts w:ascii="Arial" w:eastAsia="Calibri" w:hAnsi="Arial" w:cs="Arial"/>
          <w:kern w:val="2"/>
          <w:sz w:val="21"/>
          <w:szCs w:val="21"/>
        </w:rPr>
      </w:pPr>
    </w:p>
    <w:p w14:paraId="5A57801C"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1. С тези правила се уреждат условията и редът за вътрешно подаване на сигнали в </w:t>
      </w:r>
      <w:bookmarkStart w:id="0" w:name="_Hlk135036313"/>
      <w:r>
        <w:rPr>
          <w:rFonts w:ascii="Arial" w:eastAsia="Calibri" w:hAnsi="Arial" w:cs="Arial"/>
          <w:kern w:val="2"/>
          <w:sz w:val="21"/>
          <w:szCs w:val="21"/>
        </w:rPr>
        <w:t xml:space="preserve">Хидравлични елементи и системи АД </w:t>
      </w:r>
      <w:bookmarkEnd w:id="0"/>
      <w:r>
        <w:rPr>
          <w:rFonts w:ascii="Arial" w:eastAsia="Calibri" w:hAnsi="Arial" w:cs="Arial"/>
          <w:kern w:val="2"/>
          <w:sz w:val="21"/>
          <w:szCs w:val="21"/>
        </w:rPr>
        <w:t xml:space="preserve">и за последващи действия по тях в съответствие с разпоредбите на </w:t>
      </w:r>
      <w:bookmarkStart w:id="1" w:name="_Hlk135036340"/>
      <w:r>
        <w:rPr>
          <w:rFonts w:ascii="Arial" w:eastAsia="Calibri" w:hAnsi="Arial" w:cs="Arial"/>
          <w:kern w:val="2"/>
          <w:sz w:val="21"/>
          <w:szCs w:val="21"/>
        </w:rPr>
        <w:t xml:space="preserve">Закона за защита на лицата, подаващи сигнали или публично оповестяващи информация за нарушения </w:t>
      </w:r>
      <w:bookmarkEnd w:id="1"/>
      <w:r>
        <w:rPr>
          <w:rFonts w:ascii="Arial" w:eastAsia="Calibri" w:hAnsi="Arial" w:cs="Arial"/>
          <w:kern w:val="2"/>
          <w:sz w:val="21"/>
          <w:szCs w:val="21"/>
        </w:rPr>
        <w:t xml:space="preserve">(ЗЗЛПСПОИН). </w:t>
      </w:r>
    </w:p>
    <w:p w14:paraId="69DA9A65" w14:textId="5E758E3E"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 xml:space="preserve">Чл. 2. Дружеството поддържа на интернет страницата си </w:t>
      </w:r>
      <w:hyperlink r:id="rId7">
        <w:r w:rsidR="00FB11C1">
          <w:rPr>
            <w:rStyle w:val="Hyperlink"/>
            <w:rFonts w:ascii="Arial" w:eastAsia="Calibri" w:hAnsi="Arial" w:cs="Arial"/>
            <w:kern w:val="2"/>
            <w:sz w:val="21"/>
            <w:szCs w:val="21"/>
            <w:lang w:val="en-US"/>
          </w:rPr>
          <w:t>https</w:t>
        </w:r>
        <w:r w:rsidR="00FB11C1" w:rsidRPr="00FB11C1">
          <w:rPr>
            <w:rStyle w:val="Hyperlink"/>
            <w:rFonts w:ascii="Arial" w:eastAsia="Calibri" w:hAnsi="Arial" w:cs="Arial"/>
            <w:kern w:val="2"/>
            <w:sz w:val="21"/>
            <w:szCs w:val="21"/>
          </w:rPr>
          <w:t>://</w:t>
        </w:r>
        <w:r w:rsidR="00FB11C1">
          <w:rPr>
            <w:rStyle w:val="Hyperlink"/>
            <w:rFonts w:ascii="Arial" w:eastAsia="Calibri" w:hAnsi="Arial" w:cs="Arial"/>
            <w:kern w:val="2"/>
            <w:sz w:val="21"/>
            <w:szCs w:val="21"/>
            <w:lang w:val="en-US"/>
          </w:rPr>
          <w:t>www</w:t>
        </w:r>
        <w:r w:rsidR="00FB11C1" w:rsidRPr="00FB11C1">
          <w:rPr>
            <w:rStyle w:val="Hyperlink"/>
            <w:rFonts w:ascii="Arial" w:eastAsia="Calibri" w:hAnsi="Arial" w:cs="Arial"/>
            <w:kern w:val="2"/>
            <w:sz w:val="21"/>
            <w:szCs w:val="21"/>
          </w:rPr>
          <w:t>.</w:t>
        </w:r>
        <w:proofErr w:type="spellStart"/>
        <w:r w:rsidR="00FB11C1">
          <w:rPr>
            <w:rStyle w:val="Hyperlink"/>
            <w:rFonts w:ascii="Arial" w:eastAsia="Calibri" w:hAnsi="Arial" w:cs="Arial"/>
            <w:kern w:val="2"/>
            <w:sz w:val="21"/>
            <w:szCs w:val="21"/>
            <w:lang w:val="en-US"/>
          </w:rPr>
          <w:t>hes</w:t>
        </w:r>
        <w:proofErr w:type="spellEnd"/>
        <w:r w:rsidR="00FB11C1" w:rsidRPr="00FB11C1">
          <w:rPr>
            <w:rStyle w:val="Hyperlink"/>
            <w:rFonts w:ascii="Arial" w:eastAsia="Calibri" w:hAnsi="Arial" w:cs="Arial"/>
            <w:kern w:val="2"/>
            <w:sz w:val="21"/>
            <w:szCs w:val="21"/>
          </w:rPr>
          <w:t>.</w:t>
        </w:r>
        <w:proofErr w:type="spellStart"/>
        <w:r w:rsidR="00FB11C1">
          <w:rPr>
            <w:rStyle w:val="Hyperlink"/>
            <w:rFonts w:ascii="Arial" w:eastAsia="Calibri" w:hAnsi="Arial" w:cs="Arial"/>
            <w:kern w:val="2"/>
            <w:sz w:val="21"/>
            <w:szCs w:val="21"/>
            <w:lang w:val="en-US"/>
          </w:rPr>
          <w:t>bg</w:t>
        </w:r>
        <w:proofErr w:type="spellEnd"/>
        <w:r w:rsidR="00FB11C1" w:rsidRPr="00FB11C1">
          <w:rPr>
            <w:rStyle w:val="Hyperlink"/>
            <w:rFonts w:ascii="Arial" w:eastAsia="Calibri" w:hAnsi="Arial" w:cs="Arial"/>
            <w:kern w:val="2"/>
            <w:sz w:val="21"/>
            <w:szCs w:val="21"/>
          </w:rPr>
          <w:t>/</w:t>
        </w:r>
        <w:r w:rsidR="00FB11C1">
          <w:rPr>
            <w:rStyle w:val="Hyperlink"/>
            <w:rFonts w:ascii="Arial" w:eastAsia="Calibri" w:hAnsi="Arial" w:cs="Arial"/>
            <w:kern w:val="2"/>
            <w:sz w:val="21"/>
            <w:szCs w:val="21"/>
            <w:lang w:val="en-US"/>
          </w:rPr>
          <w:t>za</w:t>
        </w:r>
        <w:r w:rsidR="00FB11C1" w:rsidRPr="00FB11C1">
          <w:rPr>
            <w:rStyle w:val="Hyperlink"/>
            <w:rFonts w:ascii="Arial" w:eastAsia="Calibri" w:hAnsi="Arial" w:cs="Arial"/>
            <w:kern w:val="2"/>
            <w:sz w:val="21"/>
            <w:szCs w:val="21"/>
          </w:rPr>
          <w:t>-</w:t>
        </w:r>
        <w:proofErr w:type="spellStart"/>
        <w:r w:rsidR="00FB11C1">
          <w:rPr>
            <w:rStyle w:val="Hyperlink"/>
            <w:rFonts w:ascii="Arial" w:eastAsia="Calibri" w:hAnsi="Arial" w:cs="Arial"/>
            <w:kern w:val="2"/>
            <w:sz w:val="21"/>
            <w:szCs w:val="21"/>
            <w:lang w:val="en-US"/>
          </w:rPr>
          <w:t>investitori</w:t>
        </w:r>
        <w:proofErr w:type="spellEnd"/>
        <w:r w:rsidR="00FB11C1" w:rsidRPr="00FB11C1">
          <w:rPr>
            <w:rStyle w:val="Hyperlink"/>
            <w:rFonts w:ascii="Arial" w:eastAsia="Calibri" w:hAnsi="Arial" w:cs="Arial"/>
            <w:kern w:val="2"/>
            <w:sz w:val="21"/>
            <w:szCs w:val="21"/>
          </w:rPr>
          <w:t>-2</w:t>
        </w:r>
      </w:hyperlink>
      <w:r>
        <w:rPr>
          <w:rFonts w:ascii="Arial" w:eastAsia="Calibri" w:hAnsi="Arial" w:cs="Arial"/>
          <w:color w:val="000000"/>
          <w:kern w:val="2"/>
          <w:sz w:val="21"/>
          <w:szCs w:val="21"/>
        </w:rPr>
        <w:t xml:space="preserve"> актуална информация по чл. 12, ал. 4 от ЗЗЛПСПОИН, която е налична и в работните помещения на Хидравлични елементи и системи АД.</w:t>
      </w:r>
    </w:p>
    <w:p w14:paraId="026207EF"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Чл. 3. Хидравлични елементи и системи АД определя с вътрешен акт свой служител, който да отговарят за разглеждането на подадените сигнали по реда на Закона за защита на лицата, подаващи сигнали или публично оповестяващи информация за нарушения.</w:t>
      </w:r>
    </w:p>
    <w:p w14:paraId="05D71D3E"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4. Производството по разглеждане на сигнали започва с постъпване в Хидравлични елементи и системи АД на сигнал при условията и по реда на </w:t>
      </w:r>
      <w:bookmarkStart w:id="2" w:name="_Hlk135135169"/>
      <w:r>
        <w:rPr>
          <w:rFonts w:ascii="Arial" w:eastAsia="Calibri" w:hAnsi="Arial" w:cs="Arial"/>
          <w:kern w:val="2"/>
          <w:sz w:val="21"/>
          <w:szCs w:val="21"/>
        </w:rPr>
        <w:t>ЗЗЛПСПОИН</w:t>
      </w:r>
      <w:bookmarkEnd w:id="2"/>
      <w:r>
        <w:rPr>
          <w:rFonts w:ascii="Arial" w:eastAsia="Calibri" w:hAnsi="Arial" w:cs="Arial"/>
          <w:kern w:val="2"/>
          <w:sz w:val="21"/>
          <w:szCs w:val="21"/>
        </w:rPr>
        <w:t xml:space="preserve">.  </w:t>
      </w:r>
    </w:p>
    <w:p w14:paraId="28897698"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5. (1) В Хидравлични елементи и системи АД се създава вътрешен канал, чрез който може да се подаде сигнал - писмено или устно. Сигналите се подават до служителя, </w:t>
      </w:r>
      <w:bookmarkStart w:id="3" w:name="_Hlk135135193"/>
      <w:r>
        <w:rPr>
          <w:rFonts w:ascii="Arial" w:eastAsia="Calibri" w:hAnsi="Arial" w:cs="Arial"/>
          <w:kern w:val="2"/>
          <w:sz w:val="21"/>
          <w:szCs w:val="21"/>
        </w:rPr>
        <w:t>отговарящ за разглеждането на сигнали</w:t>
      </w:r>
      <w:bookmarkEnd w:id="3"/>
      <w:r>
        <w:rPr>
          <w:rFonts w:ascii="Arial" w:eastAsia="Calibri" w:hAnsi="Arial" w:cs="Arial"/>
          <w:kern w:val="2"/>
          <w:sz w:val="21"/>
          <w:szCs w:val="21"/>
        </w:rPr>
        <w:t xml:space="preserve"> съгласно ЗЗЛПСПОИН.  </w:t>
      </w:r>
    </w:p>
    <w:p w14:paraId="3C976FFD" w14:textId="5EDED808"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(2) Писмени сигнали се подават чрез електронна поща, на адрес</w:t>
      </w:r>
      <w:bookmarkStart w:id="4" w:name="_Hlk135139113"/>
      <w:r>
        <w:rPr>
          <w:rFonts w:ascii="Arial" w:eastAsia="Calibri" w:hAnsi="Arial" w:cs="Arial"/>
          <w:kern w:val="2"/>
          <w:sz w:val="21"/>
          <w:szCs w:val="21"/>
        </w:rPr>
        <w:t xml:space="preserve"> </w:t>
      </w:r>
      <w:hyperlink r:id="rId8">
        <w:r>
          <w:rPr>
            <w:rStyle w:val="Hyperlink"/>
            <w:rFonts w:ascii="Arial" w:eastAsia="Calibri" w:hAnsi="Arial" w:cs="Arial"/>
            <w:kern w:val="2"/>
            <w:sz w:val="21"/>
            <w:szCs w:val="21"/>
            <w:lang w:val="en-US"/>
          </w:rPr>
          <w:t>signali</w:t>
        </w:r>
        <w:r w:rsidRPr="00B92E7A">
          <w:rPr>
            <w:rStyle w:val="Hyperlink"/>
            <w:rFonts w:ascii="Arial" w:eastAsia="Calibri" w:hAnsi="Arial" w:cs="Arial"/>
            <w:kern w:val="2"/>
            <w:sz w:val="21"/>
            <w:szCs w:val="21"/>
          </w:rPr>
          <w:t>@</w:t>
        </w:r>
        <w:r>
          <w:rPr>
            <w:rStyle w:val="Hyperlink"/>
            <w:rFonts w:ascii="Arial" w:eastAsia="Calibri" w:hAnsi="Arial" w:cs="Arial"/>
            <w:kern w:val="2"/>
            <w:sz w:val="21"/>
            <w:szCs w:val="21"/>
            <w:lang w:val="en-US"/>
          </w:rPr>
          <w:t>hes</w:t>
        </w:r>
        <w:r w:rsidRPr="00B92E7A">
          <w:rPr>
            <w:rStyle w:val="Hyperlink"/>
            <w:rFonts w:ascii="Arial" w:eastAsia="Calibri" w:hAnsi="Arial" w:cs="Arial"/>
            <w:kern w:val="2"/>
            <w:sz w:val="21"/>
            <w:szCs w:val="21"/>
          </w:rPr>
          <w:t>-</w:t>
        </w:r>
        <w:r>
          <w:rPr>
            <w:rStyle w:val="Hyperlink"/>
            <w:rFonts w:ascii="Arial" w:eastAsia="Calibri" w:hAnsi="Arial" w:cs="Arial"/>
            <w:kern w:val="2"/>
            <w:sz w:val="21"/>
            <w:szCs w:val="21"/>
            <w:lang w:val="en-US"/>
          </w:rPr>
          <w:t>co</w:t>
        </w:r>
        <w:r w:rsidRPr="00B92E7A">
          <w:rPr>
            <w:rStyle w:val="Hyperlink"/>
            <w:rFonts w:ascii="Arial" w:eastAsia="Calibri" w:hAnsi="Arial" w:cs="Arial"/>
            <w:kern w:val="2"/>
            <w:sz w:val="21"/>
            <w:szCs w:val="21"/>
          </w:rPr>
          <w:t>.</w:t>
        </w:r>
        <w:r>
          <w:rPr>
            <w:rStyle w:val="Hyperlink"/>
            <w:rFonts w:ascii="Arial" w:eastAsia="Calibri" w:hAnsi="Arial" w:cs="Arial"/>
            <w:kern w:val="2"/>
            <w:sz w:val="21"/>
            <w:szCs w:val="21"/>
            <w:lang w:val="en-US"/>
          </w:rPr>
          <w:t>com</w:t>
        </w:r>
      </w:hyperlink>
      <w:bookmarkEnd w:id="4"/>
      <w:r w:rsidRPr="00B92E7A">
        <w:rPr>
          <w:rFonts w:ascii="Arial" w:eastAsia="Calibri" w:hAnsi="Arial" w:cs="Arial"/>
          <w:color w:val="FF0000"/>
          <w:kern w:val="2"/>
          <w:sz w:val="21"/>
          <w:szCs w:val="21"/>
        </w:rPr>
        <w:t xml:space="preserve"> </w:t>
      </w:r>
      <w:r>
        <w:rPr>
          <w:rFonts w:ascii="Arial" w:eastAsia="Calibri" w:hAnsi="Arial" w:cs="Arial"/>
          <w:kern w:val="2"/>
          <w:sz w:val="21"/>
          <w:szCs w:val="21"/>
        </w:rPr>
        <w:t xml:space="preserve">или чрез пратка, върху която под адреса на получателя е изписан текст „сигнал по ЗЗЛПСПОИН“, на адреса на Хидравлични елементи и системи АД: ул. „Пирин“ № 1, гр. Ямбол 8600. Пратката се предава незабавно на служителя, отговарящ за разглеждането на сигнали с опис, без да бъде отваряна. </w:t>
      </w:r>
    </w:p>
    <w:p w14:paraId="18B01225"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(3) Достъп до съдържанието на електронната поща се предоставя единствено на служителя, отговарящ за разглеждането на сигнали. </w:t>
      </w:r>
    </w:p>
    <w:p w14:paraId="35B4CD57"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(4) Устни сигнали се подават на телефон +359 46 </w:t>
      </w:r>
      <w:r w:rsidRPr="00B92E7A">
        <w:rPr>
          <w:rFonts w:ascii="Arial" w:eastAsia="Calibri" w:hAnsi="Arial" w:cs="Arial"/>
          <w:kern w:val="2"/>
          <w:sz w:val="21"/>
          <w:szCs w:val="21"/>
        </w:rPr>
        <w:t>683</w:t>
      </w:r>
      <w:r>
        <w:rPr>
          <w:rFonts w:ascii="Arial" w:eastAsia="Calibri" w:hAnsi="Arial" w:cs="Arial"/>
          <w:kern w:val="2"/>
          <w:sz w:val="21"/>
          <w:szCs w:val="21"/>
          <w:lang w:val="en-US"/>
        </w:rPr>
        <w:t> </w:t>
      </w:r>
      <w:r w:rsidRPr="00B92E7A">
        <w:rPr>
          <w:rFonts w:ascii="Arial" w:eastAsia="Calibri" w:hAnsi="Arial" w:cs="Arial"/>
          <w:kern w:val="2"/>
          <w:sz w:val="21"/>
          <w:szCs w:val="21"/>
        </w:rPr>
        <w:t xml:space="preserve">241 </w:t>
      </w:r>
      <w:r>
        <w:rPr>
          <w:rFonts w:ascii="Arial" w:eastAsia="Calibri" w:hAnsi="Arial" w:cs="Arial"/>
          <w:kern w:val="2"/>
          <w:sz w:val="21"/>
          <w:szCs w:val="21"/>
        </w:rPr>
        <w:t xml:space="preserve">или по искане на сигнализиращото лице, чрез лична среща, в уговорени със служителя, отговарящ за разглеждането на сигнали, подходящи ден и час, в рамките на установеното работното време на Хидравлични елементи и системи АД. </w:t>
      </w:r>
    </w:p>
    <w:p w14:paraId="74364969"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6. (1) Формуляр за регистриране на сигнал за подаване на информация за нарушения съгласно Закона може да бъде намерен на </w:t>
      </w:r>
      <w:r>
        <w:rPr>
          <w:rFonts w:ascii="Arial" w:eastAsia="Calibri" w:hAnsi="Arial" w:cs="Arial"/>
        </w:rPr>
        <w:t>www.hes.bg</w:t>
      </w:r>
      <w:r>
        <w:rPr>
          <w:rFonts w:ascii="Arial" w:eastAsia="Calibri" w:hAnsi="Arial" w:cs="Arial"/>
          <w:kern w:val="2"/>
          <w:sz w:val="21"/>
          <w:szCs w:val="21"/>
        </w:rPr>
        <w:t xml:space="preserve">, на електронната страница на КЗЛД </w:t>
      </w:r>
      <w:hyperlink r:id="rId9">
        <w:r>
          <w:rPr>
            <w:rFonts w:ascii="Arial" w:eastAsia="Calibri" w:hAnsi="Arial" w:cs="Arial"/>
            <w:color w:val="0563C1"/>
            <w:kern w:val="2"/>
            <w:sz w:val="21"/>
            <w:szCs w:val="21"/>
            <w:u w:val="single"/>
          </w:rPr>
          <w:t>www.cpdp.bg</w:t>
        </w:r>
      </w:hyperlink>
      <w:r>
        <w:rPr>
          <w:rFonts w:ascii="Arial" w:eastAsia="Calibri" w:hAnsi="Arial" w:cs="Arial"/>
          <w:kern w:val="2"/>
          <w:sz w:val="21"/>
          <w:szCs w:val="21"/>
        </w:rPr>
        <w:t xml:space="preserve"> или да бъде предоставен на място в офиса на дружеството в гр. Ямбол 8600, ул. „Пирин“ № 1.  </w:t>
      </w:r>
    </w:p>
    <w:p w14:paraId="61AB33EF"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(2) При подаване на сигнал сигнализиращото лица предоставя следните данни: </w:t>
      </w:r>
    </w:p>
    <w:p w14:paraId="7FF43C26" w14:textId="77777777" w:rsidR="00A30CBD" w:rsidRDefault="00DA1B73">
      <w:pPr>
        <w:spacing w:after="0" w:line="240" w:lineRule="auto"/>
        <w:ind w:firstLine="567"/>
        <w:jc w:val="both"/>
        <w:rPr>
          <w:rFonts w:ascii="Arial" w:eastAsia="Calibri" w:hAnsi="Arial" w:cs="Arial"/>
          <w:color w:val="FF0000"/>
          <w:kern w:val="2"/>
          <w:sz w:val="21"/>
          <w:szCs w:val="21"/>
        </w:rPr>
      </w:pPr>
      <w:r>
        <w:rPr>
          <w:rFonts w:ascii="Arial" w:eastAsia="Calibri" w:hAnsi="Arial" w:cs="Arial"/>
          <w:kern w:val="2"/>
          <w:sz w:val="21"/>
          <w:szCs w:val="21"/>
        </w:rPr>
        <w:t xml:space="preserve">1. три имена, адрес и телефон, както и електронен адрес, ако има такъв. </w:t>
      </w:r>
    </w:p>
    <w:p w14:paraId="57B48653"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2. имената на лицето, срещу което се подава сигнала и неговата месторабота, ако сигналът се подава срещу конкретни лица и те са известни; </w:t>
      </w:r>
    </w:p>
    <w:p w14:paraId="4391F631"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 </w:t>
      </w:r>
    </w:p>
    <w:p w14:paraId="519EA00C"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4. дата на подаване на сигнала; </w:t>
      </w:r>
    </w:p>
    <w:p w14:paraId="4D6EDBED"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5. подпис, електронен подпис или друга идентификация на подателя. </w:t>
      </w:r>
    </w:p>
    <w:p w14:paraId="30F7FEB2"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(3) 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
    <w:p w14:paraId="34F2C636"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(4) При спазване на разпоредбата на чл. 15, ал. 2 от </w:t>
      </w:r>
      <w:bookmarkStart w:id="5" w:name="_Hlk135137061"/>
      <w:r>
        <w:rPr>
          <w:rFonts w:ascii="Arial" w:eastAsia="Calibri" w:hAnsi="Arial" w:cs="Arial"/>
          <w:kern w:val="2"/>
          <w:sz w:val="21"/>
          <w:szCs w:val="21"/>
        </w:rPr>
        <w:t>ЗЗЛПСПОИН</w:t>
      </w:r>
      <w:bookmarkEnd w:id="5"/>
      <w:r>
        <w:rPr>
          <w:rFonts w:ascii="Arial" w:eastAsia="Calibri" w:hAnsi="Arial" w:cs="Arial"/>
          <w:kern w:val="2"/>
          <w:sz w:val="21"/>
          <w:szCs w:val="21"/>
        </w:rPr>
        <w:t xml:space="preserve">, устният сигнал се документира от служителя, отговарящ за разглеждането на сигнали чрез попълване на „Формуляр за регистриране на сигнал за подаване на информация за нарушения“, съгласно образеца, утвърден от КЗЛД. На подаващия сигнала се предлага да го подпише, при желание от негова страна. </w:t>
      </w:r>
    </w:p>
    <w:p w14:paraId="60AACD66"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(5) При получаване на писмен сигнал чрез пратка служителят, отговарящ за разглеждането на сигнали съставя протокол с подробно описание на съдържанието на пратката. Протоколът е неразделна част от преписката по сигнала.</w:t>
      </w:r>
    </w:p>
    <w:p w14:paraId="13969C59"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lastRenderedPageBreak/>
        <w:t xml:space="preserve">Чл. 7. (1) В Хидравлични елементи и системи АД се създава и поддържа електронен Регистър на сигналите по чл. 18, ал. 2 от ЗЗЛПСПОИН, съгласно образеца, утвърден от КЗЛД. Регистърът не е публичен. </w:t>
      </w:r>
    </w:p>
    <w:p w14:paraId="4A54D32C" w14:textId="77777777" w:rsidR="00806529" w:rsidRPr="007D48C9" w:rsidRDefault="00806529" w:rsidP="00806529">
      <w:pPr>
        <w:suppressAutoHyphens w:val="0"/>
        <w:spacing w:after="0" w:line="240" w:lineRule="auto"/>
        <w:ind w:firstLine="567"/>
        <w:jc w:val="both"/>
        <w:rPr>
          <w:rFonts w:ascii="Arial" w:eastAsia="Calibri" w:hAnsi="Arial" w:cs="Arial"/>
          <w:color w:val="000000" w:themeColor="text1"/>
          <w:kern w:val="2"/>
          <w:sz w:val="21"/>
          <w:szCs w:val="21"/>
        </w:rPr>
      </w:pPr>
      <w:r w:rsidRPr="007D48C9">
        <w:rPr>
          <w:rFonts w:ascii="Arial" w:eastAsia="Calibri" w:hAnsi="Arial" w:cs="Arial"/>
          <w:color w:val="000000" w:themeColor="text1"/>
          <w:kern w:val="2"/>
          <w:sz w:val="21"/>
          <w:szCs w:val="21"/>
        </w:rPr>
        <w:t>(2) Регистърът се води и поддържа от служителя, отговарящ за разглеждането на сигнали под формата на електронен файл. Достъп до Регистъра има само този служител, КЗЛД и съответните служители на комисията по чл. 22 от ЗЗЛПСПОИН.</w:t>
      </w:r>
    </w:p>
    <w:p w14:paraId="33361621" w14:textId="77777777" w:rsidR="00806529" w:rsidRPr="007D48C9" w:rsidRDefault="00806529" w:rsidP="00806529">
      <w:pPr>
        <w:suppressAutoHyphens w:val="0"/>
        <w:spacing w:after="0" w:line="240" w:lineRule="auto"/>
        <w:ind w:firstLine="567"/>
        <w:jc w:val="both"/>
        <w:rPr>
          <w:rFonts w:ascii="Arial" w:eastAsia="Calibri" w:hAnsi="Arial" w:cs="Arial"/>
          <w:color w:val="000000" w:themeColor="text1"/>
          <w:kern w:val="2"/>
          <w:sz w:val="21"/>
          <w:szCs w:val="21"/>
        </w:rPr>
      </w:pPr>
      <w:r w:rsidRPr="007D48C9">
        <w:rPr>
          <w:rFonts w:ascii="Arial" w:eastAsia="Calibri" w:hAnsi="Arial" w:cs="Arial"/>
          <w:color w:val="000000" w:themeColor="text1"/>
          <w:kern w:val="2"/>
          <w:sz w:val="21"/>
          <w:szCs w:val="21"/>
        </w:rPr>
        <w:t>(3) След постъпване на сигнала в регистъра се вписват обстоятелствата, посочени във формуляра и чл. 6, ал.1 от Наредба № 1 на КЗЛД от 27.07.2023 г. за воденето на регистрите по чл. 18 от ЗЗЛПСПОИН.</w:t>
      </w:r>
    </w:p>
    <w:p w14:paraId="3CFBACFB" w14:textId="77777777" w:rsidR="00806529" w:rsidRPr="007D48C9" w:rsidRDefault="00806529" w:rsidP="00806529">
      <w:pPr>
        <w:suppressAutoHyphens w:val="0"/>
        <w:spacing w:after="0" w:line="240" w:lineRule="auto"/>
        <w:ind w:firstLine="567"/>
        <w:jc w:val="both"/>
        <w:rPr>
          <w:rFonts w:ascii="Arial" w:eastAsia="Calibri" w:hAnsi="Arial" w:cs="Arial"/>
          <w:color w:val="000000" w:themeColor="text1"/>
          <w:kern w:val="2"/>
          <w:sz w:val="21"/>
          <w:szCs w:val="21"/>
        </w:rPr>
      </w:pPr>
      <w:r w:rsidRPr="007D48C9">
        <w:rPr>
          <w:rFonts w:ascii="Arial" w:eastAsia="Calibri" w:hAnsi="Arial" w:cs="Arial"/>
          <w:color w:val="000000" w:themeColor="text1"/>
          <w:kern w:val="2"/>
          <w:sz w:val="21"/>
          <w:szCs w:val="21"/>
        </w:rPr>
        <w:t>(4) ) Вписването на обстоятелствата по ал. 3, които не са известни към датата на подаване на сигнала, и на други допълнителни обстоятелства и/или отбелязвания се извършва поетапно съобразно постъпилата информация в хода на разглеждане на сигнала. При поетапното допълване на данни в регистъра се прави отбелязване за актуалния статус на сигнала.</w:t>
      </w:r>
    </w:p>
    <w:p w14:paraId="1E27ED7B" w14:textId="77777777" w:rsidR="00806529" w:rsidRPr="007D48C9" w:rsidRDefault="00806529" w:rsidP="00806529">
      <w:pPr>
        <w:suppressAutoHyphens w:val="0"/>
        <w:spacing w:after="0" w:line="240" w:lineRule="auto"/>
        <w:ind w:firstLine="567"/>
        <w:jc w:val="both"/>
        <w:rPr>
          <w:rFonts w:ascii="Arial" w:eastAsia="Calibri" w:hAnsi="Arial" w:cs="Arial"/>
          <w:color w:val="000000" w:themeColor="text1"/>
          <w:kern w:val="2"/>
          <w:sz w:val="21"/>
          <w:szCs w:val="21"/>
        </w:rPr>
      </w:pPr>
      <w:r w:rsidRPr="007D48C9">
        <w:rPr>
          <w:rFonts w:ascii="Arial" w:eastAsia="Calibri" w:hAnsi="Arial" w:cs="Arial"/>
          <w:color w:val="000000" w:themeColor="text1"/>
          <w:kern w:val="2"/>
          <w:sz w:val="21"/>
          <w:szCs w:val="21"/>
        </w:rPr>
        <w:t xml:space="preserve">(5) Сигналите и приложените към тях материали, включително последващата документация, свързана с разглеждането им, се съхраняват за срок от 5 години след приключване на разглеждането на сигнала, освен при наличието на образувано наказателно, гражданско, </w:t>
      </w:r>
      <w:proofErr w:type="spellStart"/>
      <w:r w:rsidRPr="007D48C9">
        <w:rPr>
          <w:rFonts w:ascii="Arial" w:eastAsia="Calibri" w:hAnsi="Arial" w:cs="Arial"/>
          <w:color w:val="000000" w:themeColor="text1"/>
          <w:kern w:val="2"/>
          <w:sz w:val="21"/>
          <w:szCs w:val="21"/>
        </w:rPr>
        <w:t>трудовоправно</w:t>
      </w:r>
      <w:proofErr w:type="spellEnd"/>
      <w:r w:rsidRPr="007D48C9">
        <w:rPr>
          <w:rFonts w:ascii="Arial" w:eastAsia="Calibri" w:hAnsi="Arial" w:cs="Arial"/>
          <w:color w:val="000000" w:themeColor="text1"/>
          <w:kern w:val="2"/>
          <w:sz w:val="21"/>
          <w:szCs w:val="21"/>
        </w:rPr>
        <w:t xml:space="preserve"> и/или административно производство във връзка с подадения сигнал. Информацията от регистъра се съхранява по начин, позволяващ възпроизвеждането ѝ без загуба на данни.</w:t>
      </w:r>
    </w:p>
    <w:p w14:paraId="7CCE486B" w14:textId="77777777" w:rsidR="00806529" w:rsidRPr="00806529" w:rsidRDefault="00806529" w:rsidP="00806529">
      <w:pPr>
        <w:suppressAutoHyphens w:val="0"/>
        <w:spacing w:after="0" w:line="240" w:lineRule="auto"/>
        <w:ind w:firstLine="567"/>
        <w:jc w:val="both"/>
        <w:rPr>
          <w:rFonts w:ascii="Arial" w:eastAsia="Calibri" w:hAnsi="Arial" w:cs="Arial"/>
          <w:color w:val="000000"/>
          <w:kern w:val="2"/>
          <w:sz w:val="21"/>
          <w:szCs w:val="21"/>
        </w:rPr>
      </w:pPr>
      <w:r w:rsidRPr="00806529">
        <w:rPr>
          <w:rFonts w:ascii="Arial" w:eastAsia="Calibri" w:hAnsi="Arial" w:cs="Arial"/>
          <w:color w:val="000000"/>
          <w:kern w:val="2"/>
          <w:sz w:val="21"/>
          <w:szCs w:val="21"/>
        </w:rPr>
        <w:t xml:space="preserve">(6) В случай, че сигнал за нарушения на българското законодателство, в областите посочени в чл. 3 на ЗЗЛПСПОИН, или на посочените в приложението към закона актове на Европейския съюз, попадне при служител, различен от служителя, отговарящ за разглеждането на сигнали, на получилия го служител се забранява да разкрива всякаква информация, чрез която би могла да се установи самоличността на сигнализиращото или засегнатото лице, а сигналът се препраща незабавно, без изменения, на служителя, отговарящ за разглеждането на сигнали в дружеството. </w:t>
      </w:r>
    </w:p>
    <w:p w14:paraId="2F72104A"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Чл. 8. (1) Всеки подаден сигнал се регистрира в Регистъра на сигналите на Хидравлични елементи и системи АД. </w:t>
      </w:r>
    </w:p>
    <w:p w14:paraId="45E7C3DE"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(2) Не се разглеждат: </w:t>
      </w:r>
    </w:p>
    <w:p w14:paraId="67520572"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1. анонимни сигнали;  </w:t>
      </w:r>
    </w:p>
    <w:p w14:paraId="50A7D289"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2. сигнали, отнасят се до нарушения, извършени преди повече от две години; </w:t>
      </w:r>
    </w:p>
    <w:p w14:paraId="5144AFBB"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3. сигнали, за които сигнализиращото лице не е отстранило допуснатите нередности (в случай, че има такива) в 7-дневен срок от съобщаването за това от страна на служителя по чл. 2 от тези Правила; </w:t>
      </w:r>
    </w:p>
    <w:p w14:paraId="53166A3B"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4. сигнали, които не попадат в обхвата и приложното поле на Закона за защита на лицата, подаващи сигнали или публично оповестяващи информация за нарушения; </w:t>
      </w:r>
    </w:p>
    <w:p w14:paraId="1DF63659"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5. сигнали, които съдържат очевидно неверни или заблуждаващи твърдения за факти.</w:t>
      </w:r>
    </w:p>
    <w:p w14:paraId="098FB0CE"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(3) След получаване на сигнала, служителят, отговарящ за разглеждането на сигнали предприема действия за генериране на Уникален идентификационен номер (УИН) и за регистриране на сигнала в Регистъра на сигналите на Хидравлични елементи и системи АД.</w:t>
      </w:r>
    </w:p>
    <w:p w14:paraId="687E725A"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(4) В 7-дневен срок от получаването на сигнала служителят, отговарящ за разглеждането на сигнали извършва проверка за редовност и потвърждава получаването му, като на сигнализиращото лице се предоставя информация за УИН и дата на регистриране на сигнала.</w:t>
      </w:r>
    </w:p>
    <w:p w14:paraId="55F5C448"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(5) В случай, че сигналът не отговаря на изискванията на закона, на сигнализиращото лице се изпраща съобщение за отстраняване на допуснатите нередности в 7-дневен срок от получаване на сигнала. </w:t>
      </w:r>
    </w:p>
    <w:p w14:paraId="5077D2F9"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(6) Ако нередностите по сигнала не бъдат отстранени в срок, служителят, отговарящ за разглеждането на сигнали връща сигнала на сигнализиращото лице заедно с приложенията към него.</w:t>
      </w:r>
    </w:p>
    <w:p w14:paraId="1FE58BFA"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(7) В срок до 3 месеца след потвърждаване на получаването на сигнала, се предоставя обратна информация на подателя на сигнала за предприетите действия. </w:t>
      </w:r>
    </w:p>
    <w:p w14:paraId="4437B06A"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9. (1) Всеки сигнал се проверява от служителя, отговарящ за разглеждането на сигнали по отношение на неговата допустимост и достоверност. Ако при проверката се установи, че сигналът не попада в обхвата на ЗЗЛПСПОИН и съдържанието му не дава основания да се приема за правдоподобен, същият не се разглежда. </w:t>
      </w:r>
    </w:p>
    <w:p w14:paraId="2777ADFF"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lastRenderedPageBreak/>
        <w:t xml:space="preserve">(2) 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 </w:t>
      </w:r>
    </w:p>
    <w:p w14:paraId="355AE129"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color w:val="000000"/>
          <w:kern w:val="2"/>
          <w:sz w:val="21"/>
          <w:szCs w:val="21"/>
        </w:rPr>
        <w:t xml:space="preserve">Чл. 10. (1) В </w:t>
      </w:r>
      <w:r>
        <w:rPr>
          <w:rFonts w:ascii="Arial" w:eastAsia="Calibri" w:hAnsi="Arial" w:cs="Arial"/>
          <w:kern w:val="2"/>
          <w:sz w:val="21"/>
          <w:szCs w:val="21"/>
        </w:rPr>
        <w:t xml:space="preserve">случай, че изнесените в сигнала факти бъдат потвърдени, служителят, отговарящ за разглеждането на сигнали: </w:t>
      </w:r>
    </w:p>
    <w:p w14:paraId="7A7CAD58"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дружеството, включително изпълнителния директор и Съвета на директорите;</w:t>
      </w:r>
    </w:p>
    <w:p w14:paraId="1C1305CD"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б) предлага на изпълнителния директор или на Съвета на директорите предприемането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 В този случай, Дружеството предприема действия в рамките на своята компетентност за преустановяване на нарушението или за предотвратяването му, ако то не е започнало. </w:t>
      </w:r>
    </w:p>
    <w:p w14:paraId="20D254A1"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в) насочва сигнализиращото лице към компетентните органи, когато се засягат неговите права; </w:t>
      </w:r>
    </w:p>
    <w:p w14:paraId="40055F15"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г) препраща сигнала на органа за външно подаване на сигнали Комисията за защита на личните данни (КЗЛД)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сигнали, насочва лицето към едновременно сигнализиране на органа за външно подаване на сигнали.</w:t>
      </w:r>
    </w:p>
    <w:p w14:paraId="291D841E"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11. Разглеждането на постъпили множество сигнали за по-тежки нарушения се приоритизира, когато извършеното нарушение оказва или би могло да окаже значително и трайно във времето отрицателно въздействие върху обществения интерес. </w:t>
      </w:r>
    </w:p>
    <w:p w14:paraId="6C62446B"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12. Всички действия на служителя, отговарящ за разглеждането на сигнали в хода на работата по сигнала се документират. </w:t>
      </w:r>
    </w:p>
    <w:p w14:paraId="10E7AEB1"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13. След приключване на проверката се изготвя доклад, в който се описва накратко информацията от сигнала, предприетите действия, окончателните резултати от проверката по сигнала, които заедно с мотивите се съобщават на подалия сигнала работник или служител и на засегнатото лице при спазване на задължението за тяхната защита.  </w:t>
      </w:r>
    </w:p>
    <w:p w14:paraId="23256C7B"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 xml:space="preserve">Чл. 14. (1) Външно подаване на сигнал е устно или писмено съобщаване на информация за нарушение на компетентните органи. </w:t>
      </w:r>
    </w:p>
    <w:p w14:paraId="6DBF7CA7"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 xml:space="preserve">(2) Национален орган за външно подаване на сигнали и за защита на лицата, подаващи сигнали е Комисията за защита на личните данни. </w:t>
      </w:r>
    </w:p>
    <w:p w14:paraId="661E07EE"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(3) Лицата, подаващи сигнали или публично оповестяващи информация за нарушения, могат да избират начина за сигнализиране: само чрез вътрешен канал; само чрез външен канал или чрез вътрешен и външен канал едновременно.</w:t>
      </w:r>
    </w:p>
    <w:p w14:paraId="292319A4"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Чл. 15. (1) Хидравлични елементи и системи АД гарантира защитата на информацията, свързана с подадените сигнали за нарушения и за защита на самоличността на сигнализиращите лица, като осигурява достъп до информацията единствено на свои служители, на които тези данни са необходими за изпълняване на служебните им задължения.</w:t>
      </w:r>
    </w:p>
    <w:p w14:paraId="429B7CCC"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 xml:space="preserve">(2) Предаването на данни и позоваването на обстоятелства не може да разкрива пряко или косвено самоличността на сигнализиращото лице, както и да създаде предположение за неговата самоличност. </w:t>
      </w:r>
    </w:p>
    <w:p w14:paraId="620F7E3E"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 xml:space="preserve">(3) Разкриването на самоличността на сигнализиращото лице и на информацията, свързана с подадения сигнал за нарушение, се допуска само при изрично писмено съгласие на сигнализиращото лице, освен в случаите, когато това е необходимо и е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w:t>
      </w:r>
    </w:p>
    <w:p w14:paraId="076AEC17" w14:textId="77777777" w:rsidR="00A30CBD" w:rsidRDefault="00DA1B73">
      <w:pPr>
        <w:spacing w:after="0" w:line="240" w:lineRule="auto"/>
        <w:ind w:firstLine="567"/>
        <w:jc w:val="both"/>
        <w:rPr>
          <w:rFonts w:ascii="Arial" w:eastAsia="Calibri" w:hAnsi="Arial" w:cs="Arial"/>
          <w:color w:val="000000"/>
          <w:kern w:val="2"/>
          <w:sz w:val="21"/>
          <w:szCs w:val="21"/>
        </w:rPr>
      </w:pPr>
      <w:r>
        <w:rPr>
          <w:rFonts w:ascii="Arial" w:eastAsia="Calibri" w:hAnsi="Arial" w:cs="Arial"/>
          <w:color w:val="000000"/>
          <w:kern w:val="2"/>
          <w:sz w:val="21"/>
          <w:szCs w:val="21"/>
        </w:rPr>
        <w:t xml:space="preserve">(4) В случаи по предходната алинея, Хидравлични елементи и системи АД уведомява сигнализиращото лице за необходимостта от разкриването му с писмено мотивирано уведомление. </w:t>
      </w:r>
    </w:p>
    <w:p w14:paraId="2BEFE07C"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t xml:space="preserve">Чл. 16. Не се събират лични данни, които явно не са от значение за разглеждане на конкретния сигнал, а ако бъдат случайно събрани, се заличават. </w:t>
      </w:r>
    </w:p>
    <w:p w14:paraId="2C83BC61" w14:textId="77777777" w:rsidR="00A30CBD" w:rsidRDefault="00DA1B73">
      <w:pPr>
        <w:spacing w:after="0" w:line="240" w:lineRule="auto"/>
        <w:ind w:firstLine="567"/>
        <w:jc w:val="both"/>
        <w:rPr>
          <w:rFonts w:ascii="Arial" w:eastAsia="Calibri" w:hAnsi="Arial" w:cs="Arial"/>
          <w:kern w:val="2"/>
          <w:sz w:val="21"/>
          <w:szCs w:val="21"/>
        </w:rPr>
      </w:pPr>
      <w:r>
        <w:rPr>
          <w:rFonts w:ascii="Arial" w:eastAsia="Calibri" w:hAnsi="Arial" w:cs="Arial"/>
          <w:kern w:val="2"/>
          <w:sz w:val="21"/>
          <w:szCs w:val="21"/>
        </w:rPr>
        <w:lastRenderedPageBreak/>
        <w:t xml:space="preserve">Чл. 17. Всяко обработване на лични данни, включително обмен или предаване на лични данни от компетентните органи, се извършва в съответствие с Регламент (ЕС) 2016/679 и Директива (ЕС) 2016/680, а когато в предаването участват институции, органи, служби или агенции на Европейския съюз - в съответствие с Регламент (ЕС) 2018/1725, както и със Закона за защита на личните данни. </w:t>
      </w:r>
    </w:p>
    <w:p w14:paraId="54DEAC14" w14:textId="77777777" w:rsidR="00A30CBD" w:rsidRDefault="00A30CBD">
      <w:pPr>
        <w:spacing w:after="0" w:line="240" w:lineRule="auto"/>
        <w:jc w:val="both"/>
        <w:rPr>
          <w:rFonts w:ascii="Arial" w:eastAsia="Calibri" w:hAnsi="Arial" w:cs="Arial"/>
          <w:kern w:val="2"/>
          <w:sz w:val="21"/>
          <w:szCs w:val="21"/>
        </w:rPr>
      </w:pPr>
    </w:p>
    <w:p w14:paraId="7D7C691B" w14:textId="77777777" w:rsidR="00A30CBD" w:rsidRDefault="00DA1B73">
      <w:pPr>
        <w:spacing w:after="0" w:line="240" w:lineRule="auto"/>
        <w:ind w:firstLine="567"/>
        <w:jc w:val="both"/>
        <w:rPr>
          <w:rFonts w:ascii="Arial" w:eastAsia="Calibri" w:hAnsi="Arial" w:cs="Arial"/>
          <w:sz w:val="21"/>
          <w:szCs w:val="21"/>
        </w:rPr>
      </w:pPr>
      <w:r>
        <w:rPr>
          <w:rFonts w:ascii="Arial" w:eastAsia="Calibri" w:hAnsi="Arial" w:cs="Arial"/>
          <w:sz w:val="21"/>
          <w:szCs w:val="21"/>
        </w:rPr>
        <w:t xml:space="preserve">Неразделна част от настоящите Вътрешни правила е Формуляр за регистриране на сигнал за подаване на информация за нарушения съгласно Закона за защита на лицата, подаващи сигнали или публично оповестяващи информация за нарушения. </w:t>
      </w:r>
    </w:p>
    <w:p w14:paraId="28D93BF4" w14:textId="77777777" w:rsidR="00A30CBD" w:rsidRDefault="00A30CBD">
      <w:pPr>
        <w:spacing w:after="0" w:line="240" w:lineRule="auto"/>
        <w:ind w:firstLine="567"/>
        <w:jc w:val="both"/>
        <w:rPr>
          <w:rFonts w:ascii="Arial" w:eastAsia="Calibri" w:hAnsi="Arial" w:cs="Arial"/>
          <w:sz w:val="21"/>
          <w:szCs w:val="21"/>
        </w:rPr>
      </w:pPr>
    </w:p>
    <w:p w14:paraId="30DDBEF5" w14:textId="2612A03F" w:rsidR="00A30CBD" w:rsidRDefault="00DA1B73">
      <w:pPr>
        <w:spacing w:after="0" w:line="240" w:lineRule="auto"/>
        <w:ind w:firstLine="567"/>
        <w:jc w:val="center"/>
        <w:rPr>
          <w:rFonts w:ascii="Arial" w:eastAsia="Calibri" w:hAnsi="Arial" w:cs="Arial"/>
          <w:sz w:val="21"/>
          <w:szCs w:val="21"/>
        </w:rPr>
      </w:pPr>
      <w:r>
        <w:rPr>
          <w:rFonts w:ascii="Arial" w:eastAsia="Calibri" w:hAnsi="Arial" w:cs="Arial"/>
          <w:sz w:val="21"/>
          <w:szCs w:val="21"/>
        </w:rPr>
        <w:t>Настоящите Вътрешни правила са одобрени с Решение на Съвета на директорите.</w:t>
      </w:r>
    </w:p>
    <w:p w14:paraId="45F38323" w14:textId="77777777" w:rsidR="00A30CBD" w:rsidRDefault="00A30CBD">
      <w:pPr>
        <w:spacing w:after="0" w:line="240" w:lineRule="auto"/>
        <w:ind w:firstLine="567"/>
        <w:jc w:val="both"/>
        <w:rPr>
          <w:rFonts w:ascii="Arial" w:eastAsia="Calibri" w:hAnsi="Arial" w:cs="Arial"/>
          <w:sz w:val="21"/>
          <w:szCs w:val="21"/>
        </w:rPr>
      </w:pPr>
    </w:p>
    <w:sectPr w:rsidR="00A30CBD">
      <w:headerReference w:type="default" r:id="rId10"/>
      <w:footerReference w:type="default" r:id="rId11"/>
      <w:pgSz w:w="11906" w:h="16838"/>
      <w:pgMar w:top="2232" w:right="1133" w:bottom="1027" w:left="993" w:header="568" w:footer="97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15A1" w14:textId="77777777" w:rsidR="001A7EAB" w:rsidRDefault="001A7EAB">
      <w:pPr>
        <w:spacing w:after="0" w:line="240" w:lineRule="auto"/>
      </w:pPr>
      <w:r>
        <w:separator/>
      </w:r>
    </w:p>
  </w:endnote>
  <w:endnote w:type="continuationSeparator" w:id="0">
    <w:p w14:paraId="7676C9E4" w14:textId="77777777" w:rsidR="001A7EAB" w:rsidRDefault="001A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MS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F09F" w14:textId="77777777" w:rsidR="00A30CBD" w:rsidRDefault="00A30CBD">
    <w:pPr>
      <w:spacing w:before="80" w:after="0" w:line="240" w:lineRule="auto"/>
      <w:jc w:val="center"/>
      <w:rPr>
        <w:rFonts w:ascii="Arial" w:eastAsia="Times New Roman" w:hAnsi="Arial" w:cs="Times New Roman"/>
        <w:szCs w:val="20"/>
        <w:lang w:eastAsia="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B783" w14:textId="77777777" w:rsidR="001A7EAB" w:rsidRDefault="001A7EAB">
      <w:pPr>
        <w:spacing w:after="0" w:line="240" w:lineRule="auto"/>
      </w:pPr>
      <w:r>
        <w:separator/>
      </w:r>
    </w:p>
  </w:footnote>
  <w:footnote w:type="continuationSeparator" w:id="0">
    <w:p w14:paraId="2E0143F3" w14:textId="77777777" w:rsidR="001A7EAB" w:rsidRDefault="001A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27C" w14:textId="77777777" w:rsidR="00A30CBD" w:rsidRDefault="00DA1B73">
    <w:pPr>
      <w:pStyle w:val="Header"/>
      <w:jc w:val="center"/>
      <w:rPr>
        <w:i/>
        <w:iCs/>
        <w:sz w:val="18"/>
        <w:szCs w:val="18"/>
        <w:lang w:val="en-US"/>
      </w:rPr>
    </w:pPr>
    <w:r>
      <w:rPr>
        <w:i/>
        <w:iCs/>
        <w:noProof/>
        <w:sz w:val="18"/>
        <w:szCs w:val="18"/>
        <w:lang w:eastAsia="bg-BG"/>
      </w:rPr>
      <w:drawing>
        <wp:anchor distT="0" distB="0" distL="114300" distR="114300" simplePos="0" relativeHeight="5" behindDoc="0" locked="0" layoutInCell="0" allowOverlap="1" wp14:anchorId="28B011CB" wp14:editId="05A753B8">
          <wp:simplePos x="0" y="0"/>
          <wp:positionH relativeFrom="margin">
            <wp:posOffset>1557655</wp:posOffset>
          </wp:positionH>
          <wp:positionV relativeFrom="paragraph">
            <wp:posOffset>-249555</wp:posOffset>
          </wp:positionV>
          <wp:extent cx="2672080" cy="971550"/>
          <wp:effectExtent l="0" t="0" r="0" b="0"/>
          <wp:wrapTight wrapText="bothSides">
            <wp:wrapPolygon edited="0">
              <wp:start x="-2" y="0"/>
              <wp:lineTo x="-2" y="21174"/>
              <wp:lineTo x="21401" y="21174"/>
              <wp:lineTo x="21401" y="0"/>
              <wp:lineTo x="-2" y="0"/>
            </wp:wrapPolygon>
          </wp:wrapTight>
          <wp:docPr id="1" name="Picture 83840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8407435"/>
                  <pic:cNvPicPr>
                    <a:picLocks noChangeAspect="1" noChangeArrowheads="1"/>
                  </pic:cNvPicPr>
                </pic:nvPicPr>
                <pic:blipFill>
                  <a:blip r:embed="rId1"/>
                  <a:srcRect l="3968" t="12619" r="2940" b="11262"/>
                  <a:stretch>
                    <a:fillRect/>
                  </a:stretch>
                </pic:blipFill>
                <pic:spPr bwMode="auto">
                  <a:xfrm>
                    <a:off x="0" y="0"/>
                    <a:ext cx="2672080" cy="971550"/>
                  </a:xfrm>
                  <a:prstGeom prst="rect">
                    <a:avLst/>
                  </a:prstGeom>
                </pic:spPr>
              </pic:pic>
            </a:graphicData>
          </a:graphic>
        </wp:anchor>
      </w:drawing>
    </w:r>
  </w:p>
  <w:p w14:paraId="33AB0331" w14:textId="77777777" w:rsidR="00A30CBD" w:rsidRDefault="00A30CBD">
    <w:pPr>
      <w:pStyle w:val="Header"/>
      <w:jc w:val="center"/>
      <w:rPr>
        <w:i/>
        <w:iCs/>
        <w:sz w:val="16"/>
        <w:szCs w:val="16"/>
        <w:lang w:val="en-US"/>
      </w:rPr>
    </w:pPr>
  </w:p>
  <w:p w14:paraId="42A647F7" w14:textId="1C477F46" w:rsidR="00A30CBD" w:rsidRDefault="00000000">
    <w:pPr>
      <w:pStyle w:val="Header"/>
      <w:jc w:val="center"/>
      <w:rPr>
        <w:sz w:val="18"/>
        <w:szCs w:val="18"/>
      </w:rPr>
    </w:pPr>
    <w:r>
      <w:rPr>
        <w:noProof/>
      </w:rPr>
      <w:pict w14:anchorId="47C41E7A">
        <v:line id="Straight Connector 12" o:spid="_x0000_s1026" style="position:absolute;left:0;text-align:left;flip:y;z-index:-503316467;visibility:visible;mso-wrap-style:square;mso-wrap-distance-left:9pt;mso-wrap-distance-top:0;mso-wrap-distance-right:9pt;mso-wrap-distance-bottom:0;mso-position-horizontal:left;mso-position-horizontal-relative:margin;mso-position-vertical:absolute;mso-position-vertical-relative:text" from="0,36.8pt" to="459pt,39.05pt" wrapcoords="-71 -14400 -71 14400 7412 28800 17929 28800 21671 28800 21671 0 15600 -7200 1412 -14400 -71 -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" o:allowincell="f" strokecolor="#f90" strokeweight=".79mm">
          <v:stroke joinstyle="miter"/>
          <w10:wrap type="through" anchorx="margin"/>
        </v:line>
      </w:pict>
    </w:r>
    <w:r>
      <w:rPr>
        <w:noProof/>
      </w:rPr>
      <w:pict w14:anchorId="38A74874">
        <v:shapetype id="_x0000_t202" coordsize="21600,21600" o:spt="202" path="m,l,21600r21600,l21600,xe">
          <v:stroke joinstyle="miter"/>
          <v:path gradientshapeok="t" o:connecttype="rect"/>
        </v:shapetype>
        <v:shape id="Frame1" o:spid="_x0000_s1025" type="#_x0000_t202" style="position:absolute;left:0;text-align:left;margin-left:3.6pt;margin-top:38.35pt;width:459pt;height:19.5pt;z-index: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" o:allowincell="f" stroked="f">
          <v:fill opacity="0"/>
          <v:textbox>
            <w:txbxContent>
              <w:p w14:paraId="732DEE4E" w14:textId="77777777" w:rsidR="00A30CBD" w:rsidRDefault="00DA1B73">
                <w:pPr>
                  <w:pStyle w:val="Header"/>
                  <w:rPr>
                    <w:rFonts w:ascii="Bookman Old Style" w:hAnsi="Bookman Old Style" w:cs="Aharoni"/>
                    <w:b/>
                    <w:color w:val="0D0D0D" w:themeColor="text1" w:themeTint="F2"/>
                    <w:spacing w:val="10"/>
                    <w:sz w:val="24"/>
                    <w:szCs w:val="24"/>
                    <w:lang w:val="en-US"/>
                  </w:rPr>
                </w:pPr>
                <w:r>
                  <w:rPr>
                    <w:i/>
                    <w:iCs/>
                    <w:sz w:val="18"/>
                    <w:szCs w:val="18"/>
                    <w:lang w:val="en-US"/>
                  </w:rPr>
                  <w:t xml:space="preserve">Bulgaria, 8600 Yambol, 1, Pirin Str., tel.: +359 46 661 464, fax: +359 46 661 456; </w:t>
                </w:r>
                <w:hyperlink r:id="rId2">
                  <w:r>
                    <w:rPr>
                      <w:rStyle w:val="Hyperlink"/>
                      <w:i/>
                      <w:iCs/>
                      <w:sz w:val="18"/>
                      <w:szCs w:val="18"/>
                      <w:lang w:val="en-US"/>
                    </w:rPr>
                    <w:t>info@hes-co.com</w:t>
                  </w:r>
                </w:hyperlink>
                <w:r>
                  <w:rPr>
                    <w:i/>
                    <w:iCs/>
                    <w:sz w:val="18"/>
                    <w:szCs w:val="18"/>
                    <w:lang w:val="en-US"/>
                  </w:rPr>
                  <w:t>; www.hes.bg</w:t>
                </w:r>
              </w:p>
            </w:txbxContent>
          </v:textbox>
          <w10:wrap type="square"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0CBD"/>
    <w:rsid w:val="000A75D6"/>
    <w:rsid w:val="001A7EAB"/>
    <w:rsid w:val="00501A8C"/>
    <w:rsid w:val="006679E8"/>
    <w:rsid w:val="00680D77"/>
    <w:rsid w:val="006E5998"/>
    <w:rsid w:val="007D48C9"/>
    <w:rsid w:val="00806529"/>
    <w:rsid w:val="00A30CBD"/>
    <w:rsid w:val="00B10558"/>
    <w:rsid w:val="00B92E7A"/>
    <w:rsid w:val="00DA1B73"/>
    <w:rsid w:val="00FB11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0D7FC"/>
  <w15:docId w15:val="{B1DF0098-2DB8-44B3-8F89-BC6006D6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36BDB"/>
  </w:style>
  <w:style w:type="character" w:customStyle="1" w:styleId="FooterChar">
    <w:name w:val="Footer Char"/>
    <w:basedOn w:val="DefaultParagraphFont"/>
    <w:link w:val="Footer"/>
    <w:uiPriority w:val="99"/>
    <w:qFormat/>
    <w:rsid w:val="00F36BDB"/>
  </w:style>
  <w:style w:type="character" w:styleId="Hyperlink">
    <w:name w:val="Hyperlink"/>
    <w:basedOn w:val="DefaultParagraphFont"/>
    <w:uiPriority w:val="99"/>
    <w:unhideWhenUsed/>
    <w:rsid w:val="00D0668B"/>
    <w:rPr>
      <w:color w:val="0563C1" w:themeColor="hyperlink"/>
      <w:u w:val="single"/>
    </w:rPr>
  </w:style>
  <w:style w:type="character" w:customStyle="1" w:styleId="BalloonTextChar">
    <w:name w:val="Balloon Text Char"/>
    <w:basedOn w:val="DefaultParagraphFont"/>
    <w:link w:val="BalloonText"/>
    <w:uiPriority w:val="99"/>
    <w:semiHidden/>
    <w:qFormat/>
    <w:rsid w:val="00CA3077"/>
    <w:rPr>
      <w:rFonts w:ascii="Segoe UI" w:hAnsi="Segoe UI" w:cs="Segoe UI"/>
      <w:sz w:val="18"/>
      <w:szCs w:val="18"/>
    </w:rPr>
  </w:style>
  <w:style w:type="character" w:customStyle="1" w:styleId="apple-converted-space">
    <w:name w:val="apple-converted-space"/>
    <w:basedOn w:val="DefaultParagraphFont"/>
    <w:qFormat/>
    <w:rsid w:val="00325A74"/>
  </w:style>
  <w:style w:type="character" w:styleId="Emphasis">
    <w:name w:val="Emphasis"/>
    <w:basedOn w:val="DefaultParagraphFont"/>
    <w:uiPriority w:val="20"/>
    <w:qFormat/>
    <w:rsid w:val="00325A74"/>
    <w:rPr>
      <w:i/>
      <w:iCs/>
    </w:rPr>
  </w:style>
  <w:style w:type="character" w:styleId="PlaceholderText">
    <w:name w:val="Placeholder Text"/>
    <w:basedOn w:val="DefaultParagraphFont"/>
    <w:uiPriority w:val="99"/>
    <w:semiHidden/>
    <w:qFormat/>
    <w:rsid w:val="009F69C7"/>
    <w:rPr>
      <w:color w:val="808080"/>
    </w:rPr>
  </w:style>
  <w:style w:type="character" w:customStyle="1" w:styleId="BodyTextChar">
    <w:name w:val="Body Text Char"/>
    <w:basedOn w:val="DefaultParagraphFont"/>
    <w:link w:val="BodyText"/>
    <w:uiPriority w:val="99"/>
    <w:qFormat/>
    <w:rsid w:val="00D27BD3"/>
  </w:style>
  <w:style w:type="character" w:customStyle="1" w:styleId="UnresolvedMention1">
    <w:name w:val="Unresolved Mention1"/>
    <w:basedOn w:val="DefaultParagraphFont"/>
    <w:uiPriority w:val="99"/>
    <w:semiHidden/>
    <w:unhideWhenUsed/>
    <w:qFormat/>
    <w:rsid w:val="0067633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unhideWhenUsed/>
    <w:rsid w:val="00D27BD3"/>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36BDB"/>
    <w:pPr>
      <w:tabs>
        <w:tab w:val="center" w:pos="4536"/>
        <w:tab w:val="right" w:pos="9072"/>
      </w:tabs>
      <w:spacing w:after="0" w:line="240" w:lineRule="auto"/>
    </w:pPr>
  </w:style>
  <w:style w:type="paragraph" w:styleId="Footer">
    <w:name w:val="footer"/>
    <w:basedOn w:val="Normal"/>
    <w:link w:val="FooterChar"/>
    <w:uiPriority w:val="99"/>
    <w:unhideWhenUsed/>
    <w:rsid w:val="00F36BDB"/>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CA3077"/>
    <w:pPr>
      <w:spacing w:after="0" w:line="240" w:lineRule="auto"/>
    </w:pPr>
    <w:rPr>
      <w:rFonts w:ascii="Segoe UI" w:hAnsi="Segoe UI" w:cs="Segoe UI"/>
      <w:sz w:val="18"/>
      <w:szCs w:val="18"/>
    </w:rPr>
  </w:style>
  <w:style w:type="paragraph" w:styleId="ListParagraph">
    <w:name w:val="List Paragraph"/>
    <w:basedOn w:val="Normal"/>
    <w:uiPriority w:val="34"/>
    <w:qFormat/>
    <w:rsid w:val="00345C8F"/>
    <w:pPr>
      <w:ind w:left="720"/>
      <w:contextualSpacing/>
    </w:pPr>
  </w:style>
  <w:style w:type="paragraph" w:customStyle="1" w:styleId="IauT7">
    <w:name w:val="IauT7"/>
    <w:basedOn w:val="Normal"/>
    <w:qFormat/>
    <w:rsid w:val="006B5F60"/>
    <w:pPr>
      <w:spacing w:after="0" w:line="240" w:lineRule="auto"/>
    </w:pPr>
    <w:rPr>
      <w:rFonts w:ascii="MS Serif" w:eastAsia="Times New Roman" w:hAnsi="MS Serif" w:cs="Times New Roman"/>
      <w:sz w:val="20"/>
      <w:szCs w:val="20"/>
      <w:lang w:val="ru-RU" w:eastAsia="ar-SA"/>
    </w:rPr>
  </w:style>
  <w:style w:type="paragraph" w:customStyle="1" w:styleId="FrameContents">
    <w:name w:val="Frame Contents"/>
    <w:basedOn w:val="Normal"/>
    <w:qFormat/>
  </w:style>
  <w:style w:type="table" w:styleId="TableGrid">
    <w:name w:val="Table Grid"/>
    <w:basedOn w:val="TableNormal"/>
    <w:uiPriority w:val="39"/>
    <w:rsid w:val="00D0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ali@hes-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s.bg/za-investitori-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dp.b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hes-c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229D-6F5D-43CF-86F0-6D5DE3D5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1894</Words>
  <Characters>10800</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Jordanova</dc:creator>
  <dc:description/>
  <cp:lastModifiedBy>Nikoila Georgiev</cp:lastModifiedBy>
  <cp:revision>11</cp:revision>
  <cp:lastPrinted>2023-05-29T09:50:00Z</cp:lastPrinted>
  <dcterms:created xsi:type="dcterms:W3CDTF">2023-05-18T06:08:00Z</dcterms:created>
  <dcterms:modified xsi:type="dcterms:W3CDTF">2023-08-17T12:11:00Z</dcterms:modified>
  <dc:language>bg-BG</dc:language>
</cp:coreProperties>
</file>